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C0A" w:rsidRPr="00991D4B" w:rsidRDefault="00F76C0A" w:rsidP="00C3586A">
      <w:pPr>
        <w:ind w:left="1701" w:hanging="1701"/>
        <w:rPr>
          <w:rFonts w:cstheme="minorHAnsi"/>
          <w:sz w:val="26"/>
          <w:szCs w:val="26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91D4B">
        <w:rPr>
          <w:rFonts w:ascii="Arial" w:hAnsi="Arial" w:cs="Arial"/>
          <w:sz w:val="22"/>
          <w:szCs w:val="22"/>
        </w:rPr>
        <w:tab/>
      </w:r>
      <w:r w:rsidR="00991D4B">
        <w:rPr>
          <w:rFonts w:ascii="Arial" w:hAnsi="Arial" w:cs="Arial"/>
          <w:sz w:val="22"/>
          <w:szCs w:val="22"/>
        </w:rPr>
        <w:tab/>
      </w:r>
    </w:p>
    <w:p w:rsidR="00F76C0A" w:rsidRDefault="00F76C0A" w:rsidP="00F76C0A">
      <w:pPr>
        <w:tabs>
          <w:tab w:val="left" w:pos="4470"/>
        </w:tabs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E6405F" w:rsidRPr="00E6405F" w:rsidRDefault="00991D4B" w:rsidP="00E6405F">
      <w:pPr>
        <w:rPr>
          <w:b/>
          <w:sz w:val="26"/>
          <w:szCs w:val="26"/>
          <w:lang w:eastAsia="en-GB"/>
        </w:rPr>
      </w:pPr>
      <w:r w:rsidRPr="00E6405F">
        <w:rPr>
          <w:b/>
          <w:sz w:val="26"/>
          <w:szCs w:val="26"/>
          <w:lang w:eastAsia="en-GB"/>
        </w:rPr>
        <w:t xml:space="preserve">PREDMET: </w:t>
      </w:r>
      <w:r w:rsidR="00E6405F" w:rsidRPr="00E6405F">
        <w:rPr>
          <w:b/>
          <w:sz w:val="26"/>
          <w:szCs w:val="26"/>
          <w:lang w:eastAsia="en-GB"/>
        </w:rPr>
        <w:t>OBVEZNE BILJEŠKE UZ FINANCIJSKE IZVJEŠTAJE ZA 202</w:t>
      </w:r>
      <w:r w:rsidR="00E6405F">
        <w:rPr>
          <w:b/>
          <w:sz w:val="26"/>
          <w:szCs w:val="26"/>
          <w:lang w:eastAsia="en-GB"/>
        </w:rPr>
        <w:t>3</w:t>
      </w:r>
      <w:r w:rsidR="00E6405F" w:rsidRPr="00E6405F">
        <w:rPr>
          <w:b/>
          <w:sz w:val="26"/>
          <w:szCs w:val="26"/>
          <w:lang w:eastAsia="en-GB"/>
        </w:rPr>
        <w:t>. GODINU</w:t>
      </w:r>
    </w:p>
    <w:p w:rsidR="00C87E09" w:rsidRDefault="00C87E09" w:rsidP="00991D4B">
      <w:pPr>
        <w:rPr>
          <w:sz w:val="26"/>
          <w:szCs w:val="26"/>
          <w:lang w:eastAsia="en-GB"/>
        </w:rPr>
      </w:pPr>
    </w:p>
    <w:p w:rsidR="00E6405F" w:rsidRPr="00E6405F" w:rsidRDefault="00E6405F" w:rsidP="00E6405F">
      <w:pPr>
        <w:rPr>
          <w:b/>
          <w:sz w:val="26"/>
          <w:szCs w:val="26"/>
          <w:lang w:eastAsia="en-GB"/>
        </w:rPr>
      </w:pPr>
      <w:r w:rsidRPr="00E6405F">
        <w:rPr>
          <w:b/>
          <w:sz w:val="26"/>
          <w:szCs w:val="26"/>
          <w:lang w:eastAsia="en-GB"/>
        </w:rPr>
        <w:t>Bilješka br. 1. Potencijalne obveze po osnovi sudskih sporova u tijeku na dan</w:t>
      </w:r>
    </w:p>
    <w:p w:rsidR="00E6405F" w:rsidRPr="00E6405F" w:rsidRDefault="00E6405F" w:rsidP="00E6405F">
      <w:pPr>
        <w:rPr>
          <w:b/>
          <w:sz w:val="26"/>
          <w:szCs w:val="26"/>
          <w:lang w:eastAsia="en-GB"/>
        </w:rPr>
      </w:pPr>
      <w:r w:rsidRPr="00E6405F">
        <w:rPr>
          <w:b/>
          <w:sz w:val="26"/>
          <w:szCs w:val="26"/>
          <w:lang w:eastAsia="en-GB"/>
        </w:rPr>
        <w:t xml:space="preserve">  </w:t>
      </w:r>
      <w:r w:rsidR="00041DFA">
        <w:rPr>
          <w:b/>
          <w:sz w:val="26"/>
          <w:szCs w:val="26"/>
          <w:lang w:eastAsia="en-GB"/>
        </w:rPr>
        <w:tab/>
      </w:r>
      <w:r w:rsidR="00041DFA">
        <w:rPr>
          <w:b/>
          <w:sz w:val="26"/>
          <w:szCs w:val="26"/>
          <w:lang w:eastAsia="en-GB"/>
        </w:rPr>
        <w:tab/>
        <w:t xml:space="preserve">      </w:t>
      </w:r>
      <w:r w:rsidRPr="00E6405F">
        <w:rPr>
          <w:b/>
          <w:sz w:val="26"/>
          <w:szCs w:val="26"/>
          <w:lang w:eastAsia="en-GB"/>
        </w:rPr>
        <w:t>31.12.202</w:t>
      </w:r>
      <w:r w:rsidR="005E5822">
        <w:rPr>
          <w:b/>
          <w:sz w:val="26"/>
          <w:szCs w:val="26"/>
          <w:lang w:eastAsia="en-GB"/>
        </w:rPr>
        <w:t>3</w:t>
      </w:r>
      <w:r w:rsidRPr="00E6405F">
        <w:rPr>
          <w:b/>
          <w:sz w:val="26"/>
          <w:szCs w:val="26"/>
          <w:lang w:eastAsia="en-GB"/>
        </w:rPr>
        <w:t>.</w:t>
      </w:r>
    </w:p>
    <w:p w:rsidR="00E6405F" w:rsidRPr="00E6405F" w:rsidRDefault="00E6405F" w:rsidP="00E6405F">
      <w:pPr>
        <w:rPr>
          <w:sz w:val="26"/>
          <w:szCs w:val="26"/>
          <w:lang w:eastAsia="en-GB"/>
        </w:rPr>
      </w:pPr>
    </w:p>
    <w:p w:rsidR="00E6405F" w:rsidRDefault="00E6405F" w:rsidP="00E6405F">
      <w:pPr>
        <w:rPr>
          <w:rFonts w:ascii="Arial" w:hAnsi="Arial" w:cs="Arial"/>
          <w:sz w:val="20"/>
          <w:szCs w:val="20"/>
        </w:rPr>
      </w:pPr>
    </w:p>
    <w:p w:rsidR="00E6405F" w:rsidRDefault="00E6405F" w:rsidP="00E6405F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843"/>
        <w:gridCol w:w="1843"/>
        <w:gridCol w:w="1720"/>
        <w:gridCol w:w="1275"/>
        <w:gridCol w:w="1134"/>
        <w:gridCol w:w="1418"/>
      </w:tblGrid>
      <w:tr w:rsidR="00E6405F" w:rsidRPr="0077789A" w:rsidTr="00E6405F">
        <w:trPr>
          <w:trHeight w:val="549"/>
        </w:trPr>
        <w:tc>
          <w:tcPr>
            <w:tcW w:w="4268" w:type="dxa"/>
            <w:gridSpan w:val="3"/>
            <w:shd w:val="clear" w:color="000000" w:fill="BFBFBF"/>
            <w:noWrap/>
            <w:vAlign w:val="bottom"/>
            <w:hideMark/>
          </w:tcPr>
          <w:p w:rsidR="00E6405F" w:rsidRPr="0077789A" w:rsidRDefault="00E6405F" w:rsidP="005A3B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78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IZVANBILANČNA EVIDENCIJA 31.12.202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7778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547" w:type="dxa"/>
            <w:gridSpan w:val="4"/>
            <w:shd w:val="clear" w:color="000000" w:fill="BFBFBF"/>
            <w:noWrap/>
            <w:vAlign w:val="bottom"/>
            <w:hideMark/>
          </w:tcPr>
          <w:p w:rsidR="00E6405F" w:rsidRPr="0077789A" w:rsidRDefault="00E6405F" w:rsidP="005A3B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78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VRIJEDNOST PREDMETA SPORA</w:t>
            </w:r>
          </w:p>
        </w:tc>
      </w:tr>
      <w:tr w:rsidR="00E6405F" w:rsidRPr="0077789A" w:rsidTr="00E6405F">
        <w:trPr>
          <w:trHeight w:val="600"/>
        </w:trPr>
        <w:tc>
          <w:tcPr>
            <w:tcW w:w="582" w:type="dxa"/>
            <w:shd w:val="clear" w:color="000000" w:fill="BFBFBF"/>
            <w:vAlign w:val="center"/>
            <w:hideMark/>
          </w:tcPr>
          <w:p w:rsidR="00E6405F" w:rsidRPr="0077789A" w:rsidRDefault="00E6405F" w:rsidP="005A3BC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Red.br.</w:t>
            </w:r>
          </w:p>
        </w:tc>
        <w:tc>
          <w:tcPr>
            <w:tcW w:w="1843" w:type="dxa"/>
            <w:shd w:val="clear" w:color="000000" w:fill="BFBFBF"/>
            <w:vAlign w:val="center"/>
            <w:hideMark/>
          </w:tcPr>
          <w:p w:rsidR="00E6405F" w:rsidRPr="0077789A" w:rsidRDefault="00E6405F" w:rsidP="005A3B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78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Br. predmeta</w:t>
            </w:r>
          </w:p>
        </w:tc>
        <w:tc>
          <w:tcPr>
            <w:tcW w:w="1843" w:type="dxa"/>
            <w:shd w:val="clear" w:color="000000" w:fill="BFBFBF"/>
            <w:vAlign w:val="center"/>
            <w:hideMark/>
          </w:tcPr>
          <w:p w:rsidR="00E6405F" w:rsidRPr="0077789A" w:rsidRDefault="00E6405F" w:rsidP="005A3B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78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Nadležni sud</w:t>
            </w:r>
          </w:p>
        </w:tc>
        <w:tc>
          <w:tcPr>
            <w:tcW w:w="1720" w:type="dxa"/>
            <w:shd w:val="clear" w:color="000000" w:fill="BFBFBF"/>
            <w:vAlign w:val="center"/>
            <w:hideMark/>
          </w:tcPr>
          <w:p w:rsidR="00E6405F" w:rsidRPr="0077789A" w:rsidRDefault="00E6405F" w:rsidP="005A3B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78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Glavnica</w:t>
            </w:r>
          </w:p>
        </w:tc>
        <w:tc>
          <w:tcPr>
            <w:tcW w:w="1275" w:type="dxa"/>
            <w:shd w:val="clear" w:color="000000" w:fill="BFBFBF"/>
            <w:vAlign w:val="center"/>
            <w:hideMark/>
          </w:tcPr>
          <w:p w:rsidR="00E6405F" w:rsidRPr="0077789A" w:rsidRDefault="00E6405F" w:rsidP="005A3B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78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Kamate</w:t>
            </w:r>
          </w:p>
        </w:tc>
        <w:tc>
          <w:tcPr>
            <w:tcW w:w="1134" w:type="dxa"/>
            <w:shd w:val="clear" w:color="000000" w:fill="BFBFBF"/>
            <w:vAlign w:val="center"/>
            <w:hideMark/>
          </w:tcPr>
          <w:p w:rsidR="00E6405F" w:rsidRPr="0077789A" w:rsidRDefault="00E6405F" w:rsidP="005A3B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78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Sudski trošak</w:t>
            </w:r>
          </w:p>
        </w:tc>
        <w:tc>
          <w:tcPr>
            <w:tcW w:w="1418" w:type="dxa"/>
            <w:shd w:val="clear" w:color="000000" w:fill="BFBFBF"/>
            <w:vAlign w:val="center"/>
            <w:hideMark/>
          </w:tcPr>
          <w:p w:rsidR="00E6405F" w:rsidRPr="0077789A" w:rsidRDefault="00E6405F" w:rsidP="005A3B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78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Ukupno</w:t>
            </w:r>
          </w:p>
        </w:tc>
      </w:tr>
      <w:tr w:rsidR="00E6405F" w:rsidRPr="0077789A" w:rsidTr="008F7DD1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Pi-692/14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PRECIZNA MEHANIKA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Općinski sud u Splitu</w:t>
            </w:r>
          </w:p>
        </w:tc>
        <w:tc>
          <w:tcPr>
            <w:tcW w:w="1720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181.307,44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361.855,15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44.696,76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587.859,35</w:t>
            </w:r>
          </w:p>
        </w:tc>
      </w:tr>
      <w:tr w:rsidR="00E6405F" w:rsidRPr="0077789A" w:rsidTr="00E6405F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P-40/201 TEŽ TRGOVINA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Općinski sud u Splitu</w:t>
            </w:r>
          </w:p>
        </w:tc>
        <w:tc>
          <w:tcPr>
            <w:tcW w:w="1720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141.259,88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278.859,34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7.465,66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405F" w:rsidRPr="0077789A" w:rsidRDefault="005E5822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427.584,88</w:t>
            </w:r>
          </w:p>
        </w:tc>
      </w:tr>
      <w:tr w:rsidR="00E6405F" w:rsidRPr="0077789A" w:rsidTr="008F7DD1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Pi-30/12 TEŽ TRGOVINA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Općinski sud u Splitu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117.959,90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235.812,27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20.157,28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405F" w:rsidRPr="0077789A" w:rsidRDefault="005E5822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373.929,45</w:t>
            </w:r>
          </w:p>
        </w:tc>
      </w:tr>
      <w:tr w:rsidR="00E6405F" w:rsidRPr="0077789A" w:rsidTr="00E6405F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P-286/2021 GRAD SPLIT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Općinski sud u Splitu</w:t>
            </w:r>
          </w:p>
        </w:tc>
        <w:tc>
          <w:tcPr>
            <w:tcW w:w="1720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6405F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6405F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1.493,13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405F" w:rsidRDefault="005E5822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1.493,13</w:t>
            </w:r>
          </w:p>
        </w:tc>
      </w:tr>
      <w:tr w:rsidR="00E6405F" w:rsidRPr="0077789A" w:rsidTr="00E6405F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Pi-30/12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IGOR ODRLJIN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Općinski sud u Splitu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106.808,00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7.963,37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405F" w:rsidRPr="0077789A" w:rsidRDefault="005E5822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114.771,37</w:t>
            </w:r>
          </w:p>
        </w:tc>
      </w:tr>
      <w:tr w:rsidR="00E6405F" w:rsidRPr="0077789A" w:rsidTr="00E6405F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Pr-713/20 EMILIJA KOVAČEVIĆ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Općinski sud u Splitu</w:t>
            </w:r>
          </w:p>
        </w:tc>
        <w:tc>
          <w:tcPr>
            <w:tcW w:w="1720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625,00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405F" w:rsidRPr="0077789A" w:rsidRDefault="005E5822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625,00</w:t>
            </w:r>
          </w:p>
        </w:tc>
      </w:tr>
      <w:tr w:rsidR="00E6405F" w:rsidRPr="0077789A" w:rsidTr="00E6405F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</w:tcPr>
          <w:p w:rsidR="00E6405F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Pr-430/2020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EMANUEL ČULIĆ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Općinski sud u Splitu</w:t>
            </w:r>
          </w:p>
        </w:tc>
        <w:tc>
          <w:tcPr>
            <w:tcW w:w="1720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625,00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405F" w:rsidRPr="0077789A" w:rsidRDefault="005E5822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625,00</w:t>
            </w:r>
          </w:p>
        </w:tc>
      </w:tr>
      <w:tr w:rsidR="00E6405F" w:rsidRPr="0077789A" w:rsidTr="00E6405F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</w:tcPr>
          <w:p w:rsidR="00E6405F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Usl-349/2020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KANDIDACIJSKA LISTA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Upravni sud u Splitu</w:t>
            </w:r>
          </w:p>
        </w:tc>
        <w:tc>
          <w:tcPr>
            <w:tcW w:w="1720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405F" w:rsidRPr="0077789A" w:rsidRDefault="005E5822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1.250,00</w:t>
            </w:r>
          </w:p>
        </w:tc>
      </w:tr>
      <w:tr w:rsidR="00E6405F" w:rsidRPr="0077789A" w:rsidTr="00E6405F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Spec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 Utužene plaće – 6  predmeta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6405F" w:rsidRPr="0077789A" w:rsidRDefault="00E6405F" w:rsidP="005A3B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789A">
              <w:rPr>
                <w:rFonts w:ascii="Arial" w:hAnsi="Arial" w:cs="Arial"/>
                <w:color w:val="000000"/>
                <w:sz w:val="16"/>
                <w:szCs w:val="16"/>
              </w:rPr>
              <w:t>Općinski sud u Splitu</w:t>
            </w:r>
          </w:p>
        </w:tc>
        <w:tc>
          <w:tcPr>
            <w:tcW w:w="1720" w:type="dxa"/>
            <w:shd w:val="clear" w:color="auto" w:fill="auto"/>
            <w:noWrap/>
            <w:vAlign w:val="bottom"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10.390,16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4.360,68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405F" w:rsidRPr="0077789A" w:rsidRDefault="005E5822" w:rsidP="005A3B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16.500,84</w:t>
            </w:r>
          </w:p>
        </w:tc>
      </w:tr>
      <w:tr w:rsidR="00E6405F" w:rsidRPr="0077789A" w:rsidTr="00E6405F">
        <w:trPr>
          <w:trHeight w:val="300"/>
        </w:trPr>
        <w:tc>
          <w:tcPr>
            <w:tcW w:w="582" w:type="dxa"/>
            <w:shd w:val="clear" w:color="000000" w:fill="BFBFBF"/>
            <w:noWrap/>
            <w:vAlign w:val="bottom"/>
            <w:hideMark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78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shd w:val="clear" w:color="000000" w:fill="BFBFBF"/>
            <w:noWrap/>
            <w:vAlign w:val="bottom"/>
            <w:hideMark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78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Ukupno</w:t>
            </w:r>
          </w:p>
        </w:tc>
        <w:tc>
          <w:tcPr>
            <w:tcW w:w="1843" w:type="dxa"/>
            <w:shd w:val="clear" w:color="000000" w:fill="BFBFBF"/>
            <w:noWrap/>
            <w:vAlign w:val="bottom"/>
            <w:hideMark/>
          </w:tcPr>
          <w:p w:rsidR="00E6405F" w:rsidRPr="0077789A" w:rsidRDefault="00E6405F" w:rsidP="005A3B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78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BFBFBF"/>
            <w:noWrap/>
            <w:vAlign w:val="bottom"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557.725,38</w:t>
            </w:r>
          </w:p>
        </w:tc>
        <w:tc>
          <w:tcPr>
            <w:tcW w:w="1275" w:type="dxa"/>
            <w:shd w:val="clear" w:color="000000" w:fill="BFBFBF"/>
            <w:noWrap/>
            <w:vAlign w:val="bottom"/>
          </w:tcPr>
          <w:p w:rsidR="00E6405F" w:rsidRPr="0077789A" w:rsidRDefault="008F7DD1" w:rsidP="005A3B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880.887,44</w:t>
            </w:r>
          </w:p>
        </w:tc>
        <w:tc>
          <w:tcPr>
            <w:tcW w:w="1134" w:type="dxa"/>
            <w:shd w:val="clear" w:color="000000" w:fill="BFBFBF"/>
            <w:noWrap/>
            <w:vAlign w:val="bottom"/>
          </w:tcPr>
          <w:p w:rsidR="00E6405F" w:rsidRPr="0077789A" w:rsidRDefault="008F7DD1" w:rsidP="005A3B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86.026,20</w:t>
            </w:r>
          </w:p>
        </w:tc>
        <w:tc>
          <w:tcPr>
            <w:tcW w:w="1418" w:type="dxa"/>
            <w:shd w:val="clear" w:color="000000" w:fill="BFBFBF"/>
            <w:noWrap/>
            <w:vAlign w:val="bottom"/>
          </w:tcPr>
          <w:p w:rsidR="00E6405F" w:rsidRPr="0077789A" w:rsidRDefault="005E5822" w:rsidP="005A3BC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1.524.639,02</w:t>
            </w:r>
          </w:p>
        </w:tc>
      </w:tr>
    </w:tbl>
    <w:p w:rsidR="00E6405F" w:rsidRPr="0077789A" w:rsidRDefault="00E6405F" w:rsidP="00E6405F">
      <w:pPr>
        <w:jc w:val="right"/>
        <w:rPr>
          <w:rFonts w:ascii="Arial" w:hAnsi="Arial" w:cs="Arial"/>
          <w:sz w:val="18"/>
          <w:szCs w:val="18"/>
        </w:rPr>
      </w:pPr>
    </w:p>
    <w:p w:rsidR="00E6405F" w:rsidRPr="00EB436A" w:rsidRDefault="00E6405F" w:rsidP="00E6405F">
      <w:pPr>
        <w:rPr>
          <w:rFonts w:ascii="Arial" w:hAnsi="Arial" w:cs="Arial"/>
          <w:sz w:val="18"/>
          <w:szCs w:val="18"/>
        </w:rPr>
      </w:pPr>
    </w:p>
    <w:p w:rsidR="00E6405F" w:rsidRDefault="00E6405F" w:rsidP="00E6405F">
      <w:pPr>
        <w:rPr>
          <w:rFonts w:ascii="Arial" w:hAnsi="Arial" w:cs="Arial"/>
        </w:rPr>
      </w:pPr>
      <w:r>
        <w:rPr>
          <w:rFonts w:ascii="Arial" w:hAnsi="Arial" w:cs="Arial"/>
        </w:rPr>
        <w:t>Navedeni p</w:t>
      </w:r>
      <w:r w:rsidRPr="00E65F07">
        <w:rPr>
          <w:rFonts w:ascii="Arial" w:hAnsi="Arial" w:cs="Arial"/>
        </w:rPr>
        <w:t xml:space="preserve">regled </w:t>
      </w:r>
      <w:r>
        <w:rPr>
          <w:rFonts w:ascii="Arial" w:hAnsi="Arial" w:cs="Arial"/>
        </w:rPr>
        <w:t xml:space="preserve">potencijalnih obveza napravljen je na podlozi Izvještaja o predmetima sudskih sporova u tijeku koje vodi Odvjetničko društvo Ljubičić &amp; Vrdoljak. </w:t>
      </w:r>
    </w:p>
    <w:p w:rsidR="00F46128" w:rsidRDefault="00F46128" w:rsidP="00E6405F">
      <w:pPr>
        <w:rPr>
          <w:rFonts w:ascii="Arial" w:hAnsi="Arial" w:cs="Arial"/>
        </w:rPr>
      </w:pPr>
    </w:p>
    <w:p w:rsidR="00F46128" w:rsidRDefault="00F46128" w:rsidP="00E6405F">
      <w:pPr>
        <w:rPr>
          <w:rFonts w:ascii="Arial" w:hAnsi="Arial" w:cs="Arial"/>
        </w:rPr>
      </w:pPr>
    </w:p>
    <w:p w:rsidR="00A96C54" w:rsidRPr="00A96C54" w:rsidRDefault="00A96C54" w:rsidP="00A96C54">
      <w:pPr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bookmarkStart w:id="0" w:name="_Hlk158635183"/>
      <w:r w:rsidRPr="00A96C54">
        <w:rPr>
          <w:rFonts w:ascii="Arial" w:eastAsia="Times New Roman" w:hAnsi="Arial" w:cs="Arial"/>
          <w:b/>
          <w:lang w:eastAsia="hr-HR"/>
        </w:rPr>
        <w:t>Bilješka br. 2.  Ugovorne obveze</w:t>
      </w:r>
      <w:bookmarkEnd w:id="0"/>
    </w:p>
    <w:p w:rsidR="00A96C54" w:rsidRPr="00A96C54" w:rsidRDefault="00A96C54" w:rsidP="00A96C54">
      <w:pPr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A96C54" w:rsidRPr="00A96C54" w:rsidRDefault="00A96C54" w:rsidP="00A96C54">
      <w:pPr>
        <w:jc w:val="both"/>
        <w:rPr>
          <w:rFonts w:ascii="Arial" w:eastAsia="Times New Roman" w:hAnsi="Arial" w:cs="Arial"/>
          <w:sz w:val="22"/>
          <w:szCs w:val="22"/>
          <w:lang w:eastAsia="hr-HR"/>
        </w:rPr>
      </w:pPr>
      <w:r w:rsidRPr="00A96C54">
        <w:rPr>
          <w:rFonts w:ascii="Arial" w:eastAsia="Times New Roman" w:hAnsi="Arial" w:cs="Arial"/>
          <w:sz w:val="22"/>
          <w:szCs w:val="22"/>
          <w:lang w:eastAsia="hr-HR"/>
        </w:rPr>
        <w:t>Sveučilište u Splitu sklopilo je 1.7.2020. Ugovor o kreditu reg. br.1351/20 s OTP bankom d.d. do ukupnog iznosa 25.000.000,00 kn dozvoljenog prekoračenja pokrića na računu za redovno poslovanje.</w:t>
      </w:r>
    </w:p>
    <w:p w:rsidR="00A96C54" w:rsidRPr="00A96C54" w:rsidRDefault="00A96C54" w:rsidP="00A96C54">
      <w:pPr>
        <w:jc w:val="both"/>
        <w:rPr>
          <w:rFonts w:ascii="Arial" w:eastAsia="Times New Roman" w:hAnsi="Arial" w:cs="Arial"/>
          <w:sz w:val="22"/>
          <w:szCs w:val="22"/>
          <w:lang w:eastAsia="hr-HR"/>
        </w:rPr>
      </w:pPr>
    </w:p>
    <w:p w:rsidR="00A96C54" w:rsidRPr="00A96C54" w:rsidRDefault="00A96C54" w:rsidP="00A96C54">
      <w:pPr>
        <w:jc w:val="both"/>
        <w:rPr>
          <w:rFonts w:ascii="Arial" w:eastAsia="Times New Roman" w:hAnsi="Arial" w:cs="Arial"/>
          <w:sz w:val="22"/>
          <w:szCs w:val="22"/>
          <w:lang w:eastAsia="hr-HR"/>
        </w:rPr>
      </w:pPr>
      <w:r w:rsidRPr="00A96C54">
        <w:rPr>
          <w:rFonts w:ascii="Arial" w:eastAsia="Times New Roman" w:hAnsi="Arial" w:cs="Arial"/>
          <w:sz w:val="22"/>
          <w:szCs w:val="22"/>
          <w:lang w:eastAsia="hr-HR"/>
        </w:rPr>
        <w:t>Radi osiguranja izvršenja preuzetih ugovornih obveza, Banci su dostavljeni instrumenti osiguranja plaćanja: dvije bjanko akceptirane mjenice s mjeničnim očitovanjem i jedna zadužnica za iznos cjelokupne tražbine iz Ugovora.</w:t>
      </w:r>
    </w:p>
    <w:p w:rsidR="00A96C54" w:rsidRPr="00A96C54" w:rsidRDefault="00A96C54" w:rsidP="00A96C54">
      <w:pPr>
        <w:jc w:val="both"/>
        <w:rPr>
          <w:rFonts w:ascii="Arial" w:eastAsia="Times New Roman" w:hAnsi="Arial" w:cs="Arial"/>
          <w:sz w:val="22"/>
          <w:szCs w:val="22"/>
          <w:lang w:eastAsia="hr-HR"/>
        </w:rPr>
      </w:pPr>
    </w:p>
    <w:p w:rsidR="00A96C54" w:rsidRPr="00A96C54" w:rsidRDefault="00A96C54" w:rsidP="00A96C54">
      <w:pPr>
        <w:jc w:val="both"/>
        <w:rPr>
          <w:rFonts w:ascii="Arial" w:eastAsia="Times New Roman" w:hAnsi="Arial" w:cs="Arial"/>
          <w:sz w:val="22"/>
          <w:szCs w:val="22"/>
          <w:lang w:eastAsia="hr-HR"/>
        </w:rPr>
      </w:pPr>
      <w:r w:rsidRPr="00A96C54">
        <w:rPr>
          <w:rFonts w:ascii="Arial" w:eastAsia="Times New Roman" w:hAnsi="Arial" w:cs="Arial"/>
          <w:sz w:val="22"/>
          <w:szCs w:val="22"/>
          <w:lang w:eastAsia="hr-HR"/>
        </w:rPr>
        <w:t xml:space="preserve">Ugovorna potencijalne obveza iskazana je na šifri pozicije u Bilanci 996 – </w:t>
      </w:r>
      <w:proofErr w:type="spellStart"/>
      <w:r w:rsidRPr="00A96C54">
        <w:rPr>
          <w:rFonts w:ascii="Arial" w:eastAsia="Times New Roman" w:hAnsi="Arial" w:cs="Arial"/>
          <w:sz w:val="22"/>
          <w:szCs w:val="22"/>
          <w:lang w:eastAsia="hr-HR"/>
        </w:rPr>
        <w:t>Izvanbilančni</w:t>
      </w:r>
      <w:proofErr w:type="spellEnd"/>
      <w:r w:rsidRPr="00A96C54">
        <w:rPr>
          <w:rFonts w:ascii="Arial" w:eastAsia="Times New Roman" w:hAnsi="Arial" w:cs="Arial"/>
          <w:sz w:val="22"/>
          <w:szCs w:val="22"/>
          <w:lang w:eastAsia="hr-HR"/>
        </w:rPr>
        <w:t xml:space="preserve"> zapisi.</w:t>
      </w:r>
    </w:p>
    <w:p w:rsidR="00D31D31" w:rsidRDefault="00D31D31" w:rsidP="00041DFA">
      <w:pPr>
        <w:jc w:val="both"/>
        <w:rPr>
          <w:rFonts w:ascii="Arial" w:eastAsia="Times New Roman" w:hAnsi="Arial" w:cs="Arial"/>
          <w:b/>
          <w:lang w:eastAsia="hr-HR"/>
        </w:rPr>
      </w:pPr>
    </w:p>
    <w:p w:rsidR="00041DFA" w:rsidRPr="00A96C54" w:rsidRDefault="00041DFA" w:rsidP="00041DFA">
      <w:pPr>
        <w:jc w:val="both"/>
        <w:rPr>
          <w:rFonts w:ascii="Arial" w:eastAsia="Times New Roman" w:hAnsi="Arial" w:cs="Arial"/>
          <w:b/>
          <w:lang w:eastAsia="hr-HR"/>
        </w:rPr>
      </w:pPr>
      <w:bookmarkStart w:id="1" w:name="_GoBack"/>
      <w:bookmarkEnd w:id="1"/>
      <w:r w:rsidRPr="00A96C54">
        <w:rPr>
          <w:rFonts w:ascii="Arial" w:eastAsia="Times New Roman" w:hAnsi="Arial" w:cs="Arial"/>
          <w:b/>
          <w:lang w:eastAsia="hr-HR"/>
        </w:rPr>
        <w:t xml:space="preserve">Bilješka br. </w:t>
      </w:r>
      <w:r>
        <w:rPr>
          <w:rFonts w:ascii="Arial" w:eastAsia="Times New Roman" w:hAnsi="Arial" w:cs="Arial"/>
          <w:b/>
          <w:lang w:eastAsia="hr-HR"/>
        </w:rPr>
        <w:t>3</w:t>
      </w:r>
      <w:r w:rsidRPr="00A96C54">
        <w:rPr>
          <w:rFonts w:ascii="Arial" w:eastAsia="Times New Roman" w:hAnsi="Arial" w:cs="Arial"/>
          <w:b/>
          <w:lang w:eastAsia="hr-HR"/>
        </w:rPr>
        <w:t xml:space="preserve">.  </w:t>
      </w:r>
      <w:r>
        <w:rPr>
          <w:rFonts w:ascii="Arial" w:eastAsia="Times New Roman" w:hAnsi="Arial" w:cs="Arial"/>
          <w:b/>
          <w:lang w:eastAsia="hr-HR"/>
        </w:rPr>
        <w:t>Usklađivanje razlika između analitičkih i sintetičkih evidencija zbog preračunavanja iznosa u EUR i uspostavljanje bilančne ravnoteže</w:t>
      </w:r>
    </w:p>
    <w:p w:rsidR="00A96C54" w:rsidRDefault="00134948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  <w:r>
        <w:rPr>
          <w:rFonts w:ascii="Calibri" w:eastAsia="Times New Roman" w:hAnsi="Calibri" w:cs="Calibri"/>
          <w:lang w:eastAsia="hr-HR"/>
        </w:rPr>
        <w:t xml:space="preserve"> </w:t>
      </w: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7E171F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  <w:r w:rsidRPr="007E171F">
        <w:drawing>
          <wp:inline distT="0" distB="0" distL="0" distR="0">
            <wp:extent cx="5760085" cy="204123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04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D27B4D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  <w:r w:rsidRPr="00D27B4D">
        <w:drawing>
          <wp:inline distT="0" distB="0" distL="0" distR="0">
            <wp:extent cx="5760085" cy="2432578"/>
            <wp:effectExtent l="0" t="0" r="0" b="635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432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05789F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  <w:r w:rsidRPr="0005789F">
        <w:drawing>
          <wp:inline distT="0" distB="0" distL="0" distR="0">
            <wp:extent cx="5760085" cy="2432578"/>
            <wp:effectExtent l="0" t="0" r="0" b="635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432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89F" w:rsidRDefault="0005789F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05789F" w:rsidRDefault="0005789F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05789F" w:rsidRDefault="0005789F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05789F" w:rsidRDefault="0005789F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05789F" w:rsidRDefault="0005789F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05789F" w:rsidRDefault="0005789F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05789F" w:rsidRDefault="0005789F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05789F" w:rsidRDefault="0005789F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A96C54" w:rsidRDefault="00A96C54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</w:p>
    <w:p w:rsidR="00F477D2" w:rsidRPr="00F477D2" w:rsidRDefault="00F477D2" w:rsidP="00F477D2">
      <w:pPr>
        <w:tabs>
          <w:tab w:val="left" w:pos="5340"/>
        </w:tabs>
        <w:rPr>
          <w:rFonts w:ascii="Calibri" w:eastAsia="Times New Roman" w:hAnsi="Calibri" w:cs="Calibri"/>
          <w:lang w:eastAsia="hr-HR"/>
        </w:rPr>
      </w:pPr>
      <w:r>
        <w:rPr>
          <w:rFonts w:ascii="Calibri" w:eastAsia="Times New Roman" w:hAnsi="Calibri" w:cs="Calibri"/>
          <w:lang w:eastAsia="hr-HR"/>
        </w:rPr>
        <w:t xml:space="preserve">U Splitu </w:t>
      </w:r>
      <w:r w:rsidR="00E6405F">
        <w:rPr>
          <w:rFonts w:ascii="Calibri" w:eastAsia="Times New Roman" w:hAnsi="Calibri" w:cs="Calibri"/>
          <w:lang w:eastAsia="hr-HR"/>
        </w:rPr>
        <w:t>12</w:t>
      </w:r>
      <w:r>
        <w:rPr>
          <w:rFonts w:ascii="Calibri" w:eastAsia="Times New Roman" w:hAnsi="Calibri" w:cs="Calibri"/>
          <w:lang w:eastAsia="hr-HR"/>
        </w:rPr>
        <w:t>.</w:t>
      </w:r>
      <w:r w:rsidR="00E6405F">
        <w:rPr>
          <w:rFonts w:ascii="Calibri" w:eastAsia="Times New Roman" w:hAnsi="Calibri" w:cs="Calibri"/>
          <w:lang w:eastAsia="hr-HR"/>
        </w:rPr>
        <w:t>2</w:t>
      </w:r>
      <w:r>
        <w:rPr>
          <w:rFonts w:ascii="Calibri" w:eastAsia="Times New Roman" w:hAnsi="Calibri" w:cs="Calibri"/>
          <w:lang w:eastAsia="hr-HR"/>
        </w:rPr>
        <w:t>.202</w:t>
      </w:r>
      <w:r w:rsidR="00B40D49">
        <w:rPr>
          <w:rFonts w:ascii="Calibri" w:eastAsia="Times New Roman" w:hAnsi="Calibri" w:cs="Calibri"/>
          <w:lang w:eastAsia="hr-HR"/>
        </w:rPr>
        <w:t>4</w:t>
      </w:r>
      <w:r>
        <w:rPr>
          <w:rFonts w:ascii="Calibri" w:eastAsia="Times New Roman" w:hAnsi="Calibri" w:cs="Calibri"/>
          <w:lang w:eastAsia="hr-HR"/>
        </w:rPr>
        <w:t>.</w:t>
      </w:r>
      <w:r>
        <w:rPr>
          <w:rFonts w:ascii="Calibri" w:eastAsia="Times New Roman" w:hAnsi="Calibri" w:cs="Calibri"/>
          <w:lang w:eastAsia="hr-HR"/>
        </w:rPr>
        <w:tab/>
        <w:t>Rektor:</w:t>
      </w:r>
      <w:r w:rsidR="00F46128">
        <w:rPr>
          <w:rFonts w:ascii="Calibri" w:eastAsia="Times New Roman" w:hAnsi="Calibri" w:cs="Calibri"/>
          <w:lang w:eastAsia="hr-HR"/>
        </w:rPr>
        <w:t xml:space="preserve"> </w:t>
      </w:r>
      <w:r>
        <w:rPr>
          <w:rFonts w:ascii="Calibri" w:eastAsia="Times New Roman" w:hAnsi="Calibri" w:cs="Calibri"/>
          <w:lang w:eastAsia="hr-HR"/>
        </w:rPr>
        <w:t xml:space="preserve">prof. dr. </w:t>
      </w:r>
      <w:proofErr w:type="spellStart"/>
      <w:r>
        <w:rPr>
          <w:rFonts w:ascii="Calibri" w:eastAsia="Times New Roman" w:hAnsi="Calibri" w:cs="Calibri"/>
          <w:lang w:eastAsia="hr-HR"/>
        </w:rPr>
        <w:t>sc</w:t>
      </w:r>
      <w:proofErr w:type="spellEnd"/>
      <w:r>
        <w:rPr>
          <w:rFonts w:ascii="Calibri" w:eastAsia="Times New Roman" w:hAnsi="Calibri" w:cs="Calibri"/>
          <w:lang w:eastAsia="hr-HR"/>
        </w:rPr>
        <w:t>. Dragan Ljutić</w:t>
      </w:r>
    </w:p>
    <w:sectPr w:rsidR="00F477D2" w:rsidRPr="00F477D2" w:rsidSect="00991D4B">
      <w:headerReference w:type="default" r:id="rId10"/>
      <w:footerReference w:type="default" r:id="rId11"/>
      <w:pgSz w:w="11906" w:h="16838"/>
      <w:pgMar w:top="1134" w:right="1134" w:bottom="1134" w:left="1701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708D" w:rsidRDefault="004B708D" w:rsidP="00DB4827">
      <w:r>
        <w:separator/>
      </w:r>
    </w:p>
  </w:endnote>
  <w:endnote w:type="continuationSeparator" w:id="0">
    <w:p w:rsidR="004B708D" w:rsidRDefault="004B708D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773" w:rsidRDefault="00CC2E4A" w:rsidP="008F5569">
    <w:pPr>
      <w:pStyle w:val="Podnoje"/>
      <w:ind w:left="-851" w:firstLine="781"/>
    </w:pPr>
    <w:r>
      <w:rPr>
        <w:noProof/>
      </w:rPr>
      <w:drawing>
        <wp:inline distT="0" distB="0" distL="0" distR="0">
          <wp:extent cx="4968000" cy="423108"/>
          <wp:effectExtent l="0" t="0" r="0" b="0"/>
          <wp:docPr id="8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8000" cy="4231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B4827" w:rsidRDefault="00DB482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708D" w:rsidRDefault="004B708D" w:rsidP="00DB4827">
      <w:r>
        <w:separator/>
      </w:r>
    </w:p>
  </w:footnote>
  <w:footnote w:type="continuationSeparator" w:id="0">
    <w:p w:rsidR="004B708D" w:rsidRDefault="004B708D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827" w:rsidRDefault="00DB4827" w:rsidP="00FE5FC7">
    <w:pPr>
      <w:pStyle w:val="Zaglavlje"/>
      <w:ind w:left="-2693"/>
    </w:pPr>
    <w:r>
      <w:rPr>
        <w:noProof/>
      </w:rPr>
      <w:drawing>
        <wp:inline distT="0" distB="0" distL="0" distR="0">
          <wp:extent cx="10715625" cy="1704975"/>
          <wp:effectExtent l="0" t="0" r="9525" b="9525"/>
          <wp:docPr id="7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6" r="-476"/>
                  <a:stretch/>
                </pic:blipFill>
                <pic:spPr>
                  <a:xfrm>
                    <a:off x="0" y="0"/>
                    <a:ext cx="10748759" cy="17102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B4827" w:rsidRDefault="00DB482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827"/>
    <w:rsid w:val="00041DFA"/>
    <w:rsid w:val="0005721C"/>
    <w:rsid w:val="0005789F"/>
    <w:rsid w:val="000F1208"/>
    <w:rsid w:val="001104AF"/>
    <w:rsid w:val="00134948"/>
    <w:rsid w:val="00237D6A"/>
    <w:rsid w:val="002A65D3"/>
    <w:rsid w:val="002B0F87"/>
    <w:rsid w:val="002F506F"/>
    <w:rsid w:val="004B708D"/>
    <w:rsid w:val="004B775D"/>
    <w:rsid w:val="0056152F"/>
    <w:rsid w:val="005E5822"/>
    <w:rsid w:val="005F0680"/>
    <w:rsid w:val="0062408E"/>
    <w:rsid w:val="00626A07"/>
    <w:rsid w:val="00687F7A"/>
    <w:rsid w:val="006F36D1"/>
    <w:rsid w:val="0070466A"/>
    <w:rsid w:val="00782600"/>
    <w:rsid w:val="007B7608"/>
    <w:rsid w:val="007E171F"/>
    <w:rsid w:val="00890773"/>
    <w:rsid w:val="008F5569"/>
    <w:rsid w:val="008F7DD1"/>
    <w:rsid w:val="009047B2"/>
    <w:rsid w:val="0094024C"/>
    <w:rsid w:val="00991D4B"/>
    <w:rsid w:val="009E01F2"/>
    <w:rsid w:val="00A96C54"/>
    <w:rsid w:val="00B40D49"/>
    <w:rsid w:val="00B91BF7"/>
    <w:rsid w:val="00BB5A04"/>
    <w:rsid w:val="00BD2DF6"/>
    <w:rsid w:val="00C1107A"/>
    <w:rsid w:val="00C3586A"/>
    <w:rsid w:val="00C87E09"/>
    <w:rsid w:val="00CB1310"/>
    <w:rsid w:val="00CC2E4A"/>
    <w:rsid w:val="00D27B4D"/>
    <w:rsid w:val="00D31D31"/>
    <w:rsid w:val="00D56AEA"/>
    <w:rsid w:val="00DB4827"/>
    <w:rsid w:val="00DD4477"/>
    <w:rsid w:val="00E3444C"/>
    <w:rsid w:val="00E6405F"/>
    <w:rsid w:val="00F46128"/>
    <w:rsid w:val="00F477D2"/>
    <w:rsid w:val="00F76C0A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F18EB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4827"/>
  </w:style>
  <w:style w:type="paragraph" w:styleId="Podnoje">
    <w:name w:val="footer"/>
    <w:basedOn w:val="Normal"/>
    <w:link w:val="Podnoje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B4827"/>
  </w:style>
  <w:style w:type="paragraph" w:styleId="Standard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Reetkatablice">
    <w:name w:val="Table Grid"/>
    <w:basedOn w:val="Obinatablica"/>
    <w:uiPriority w:val="39"/>
    <w:rsid w:val="00041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6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69559-C537-4685-BE7A-A8DE2765B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Katja Kovačić</cp:lastModifiedBy>
  <cp:revision>4</cp:revision>
  <cp:lastPrinted>2024-01-26T14:41:00Z</cp:lastPrinted>
  <dcterms:created xsi:type="dcterms:W3CDTF">2024-02-12T09:49:00Z</dcterms:created>
  <dcterms:modified xsi:type="dcterms:W3CDTF">2024-02-12T15:03:00Z</dcterms:modified>
</cp:coreProperties>
</file>